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842A1">
      <w:pPr>
        <w:jc w:val="left"/>
        <w:rPr>
          <w:rFonts w:ascii="微软雅黑" w:hAnsi="微软雅黑" w:eastAsia="微软雅黑"/>
          <w:b/>
          <w:bCs/>
          <w:sz w:val="32"/>
          <w:szCs w:val="36"/>
          <w:u w:val="single"/>
        </w:rPr>
      </w:pPr>
      <w:r>
        <w:rPr>
          <w:rFonts w:ascii="微软雅黑" w:hAnsi="微软雅黑" w:eastAsia="微软雅黑"/>
          <w:b/>
          <w:bCs/>
          <w:sz w:val="32"/>
          <w:szCs w:val="36"/>
          <w:u w:val="single"/>
        </w:rPr>
        <w:t>From Source Text to Creative Production: Technological and Narrative Approaches to Shakespeare Adaptation for Expanded Animation (VR)</w:t>
      </w:r>
    </w:p>
    <w:p w14:paraId="62AF555E">
      <w:pPr>
        <w:jc w:val="left"/>
        <w:rPr>
          <w:rFonts w:hint="default" w:ascii="微软雅黑" w:hAnsi="微软雅黑" w:eastAsia="微软雅黑"/>
          <w:b/>
          <w:bCs/>
          <w:color w:val="FF0000"/>
          <w:sz w:val="36"/>
          <w:szCs w:val="36"/>
          <w:u w:val="single"/>
          <w:lang w:val="en-US" w:eastAsia="zh-CN"/>
        </w:rPr>
      </w:pPr>
      <w:r>
        <w:rPr>
          <w:rFonts w:hint="eastAsia" w:ascii="微软雅黑" w:hAnsi="微软雅黑" w:eastAsia="微软雅黑"/>
          <w:b/>
          <w:bCs/>
          <w:color w:val="FF0000"/>
          <w:sz w:val="32"/>
          <w:szCs w:val="36"/>
          <w:u w:val="single"/>
          <w:lang w:val="en-US" w:eastAsia="zh-CN"/>
        </w:rPr>
        <w:t>(Title: 16 pt</w:t>
      </w:r>
      <w:r>
        <w:rPr>
          <w:rFonts w:hint="eastAsia" w:ascii="微软雅黑" w:hAnsi="微软雅黑" w:eastAsia="微软雅黑"/>
          <w:b/>
          <w:bCs/>
          <w:color w:val="FF0000"/>
          <w:sz w:val="36"/>
          <w:szCs w:val="36"/>
          <w:u w:val="single"/>
          <w:lang w:val="en-US" w:eastAsia="zh-CN"/>
        </w:rPr>
        <w:t>, Microsoft YaHei, single spacing, bold, underline, left-alignment)</w:t>
      </w:r>
    </w:p>
    <w:p w14:paraId="31F610D7">
      <w:pPr>
        <w:pStyle w:val="10"/>
        <w:snapToGrid w:val="0"/>
        <w:spacing w:before="156" w:beforeLines="50" w:after="156" w:afterLines="50" w:line="360" w:lineRule="auto"/>
        <w:rPr>
          <w:rFonts w:ascii="Times New Roman" w:hAnsi="Times New Roman" w:cs="Times New Roman"/>
          <w:kern w:val="2"/>
          <w:sz w:val="21"/>
          <w:szCs w:val="21"/>
          <w:vertAlign w:val="superscript"/>
          <w14:ligatures w14:val="standardContextual"/>
        </w:rPr>
      </w:pPr>
      <w:r>
        <w:rPr>
          <w:rFonts w:ascii="Times New Roman" w:hAnsi="Times New Roman" w:cs="Times New Roman"/>
          <w:kern w:val="2"/>
          <w:sz w:val="21"/>
          <w:szCs w:val="21"/>
          <w14:ligatures w14:val="standardContextual"/>
        </w:rPr>
        <w:t>Hannes Rall</w:t>
      </w:r>
      <w:r>
        <w:rPr>
          <w:rFonts w:ascii="Times New Roman" w:hAnsi="Times New Roman" w:cs="Times New Roman"/>
          <w:kern w:val="2"/>
          <w:sz w:val="21"/>
          <w:szCs w:val="21"/>
          <w:vertAlign w:val="superscript"/>
          <w14:ligatures w14:val="standardContextual"/>
        </w:rPr>
        <w:t>1</w:t>
      </w:r>
      <w:r>
        <w:rPr>
          <w:rFonts w:ascii="Times New Roman" w:hAnsi="Times New Roman" w:cs="Times New Roman"/>
          <w:kern w:val="2"/>
          <w:sz w:val="21"/>
          <w:szCs w:val="21"/>
          <w14:ligatures w14:val="standardContextual"/>
        </w:rPr>
        <w:t>, Emma Harper</w:t>
      </w:r>
      <w:r>
        <w:rPr>
          <w:rFonts w:ascii="Times New Roman" w:hAnsi="Times New Roman" w:cs="Times New Roman"/>
          <w:kern w:val="2"/>
          <w:sz w:val="21"/>
          <w:szCs w:val="21"/>
          <w:vertAlign w:val="superscript"/>
          <w14:ligatures w14:val="standardContextual"/>
        </w:rPr>
        <w:t>2</w:t>
      </w:r>
      <w:r>
        <w:rPr>
          <w:rFonts w:ascii="Times New Roman" w:hAnsi="Times New Roman" w:cs="Times New Roman"/>
          <w:kern w:val="2"/>
          <w:sz w:val="21"/>
          <w:szCs w:val="21"/>
          <w14:ligatures w14:val="standardContextual"/>
        </w:rPr>
        <w:t>, Gelissa Loh</w:t>
      </w:r>
      <w:r>
        <w:rPr>
          <w:rFonts w:ascii="Times New Roman" w:hAnsi="Times New Roman" w:cs="Times New Roman"/>
          <w:kern w:val="2"/>
          <w:sz w:val="21"/>
          <w:szCs w:val="21"/>
          <w:vertAlign w:val="superscript"/>
          <w14:ligatures w14:val="standardContextual"/>
        </w:rPr>
        <w:t>3</w:t>
      </w:r>
      <w:r>
        <w:rPr>
          <w:rFonts w:ascii="Times New Roman" w:hAnsi="Times New Roman" w:cs="Times New Roman"/>
          <w:kern w:val="2"/>
          <w:sz w:val="21"/>
          <w:szCs w:val="21"/>
          <w14:ligatures w14:val="standardContextual"/>
        </w:rPr>
        <w:t xml:space="preserve"> and Jasper Teh</w:t>
      </w:r>
      <w:r>
        <w:rPr>
          <w:rFonts w:ascii="Times New Roman" w:hAnsi="Times New Roman" w:cs="Times New Roman"/>
          <w:kern w:val="2"/>
          <w:sz w:val="21"/>
          <w:szCs w:val="21"/>
          <w:vertAlign w:val="superscript"/>
          <w14:ligatures w14:val="standardContextual"/>
        </w:rPr>
        <w:t>3</w:t>
      </w:r>
      <w:r>
        <w:rPr>
          <w:rFonts w:hint="eastAsia" w:ascii="Times New Roman" w:hAnsi="Times New Roman" w:cs="Times New Roman"/>
          <w:kern w:val="2"/>
          <w:sz w:val="21"/>
          <w:szCs w:val="21"/>
          <w:vertAlign w:val="superscript"/>
          <w14:ligatures w14:val="standardContextual"/>
        </w:rPr>
        <w:t xml:space="preserve"> </w:t>
      </w:r>
    </w:p>
    <w:p w14:paraId="7C9155F1">
      <w:pPr>
        <w:pStyle w:val="10"/>
        <w:snapToGrid w:val="0"/>
        <w:spacing w:before="156" w:beforeLines="50" w:after="156" w:afterLines="50" w:line="360" w:lineRule="auto"/>
        <w:rPr>
          <w:rFonts w:hint="default" w:ascii="Times New Roman" w:hAnsi="Times New Roman" w:cs="Times New Roman" w:eastAsiaTheme="minorEastAsia"/>
          <w:color w:val="FF0000"/>
          <w:kern w:val="2"/>
          <w:sz w:val="21"/>
          <w:szCs w:val="21"/>
          <w:lang w:val="en-US" w:eastAsia="zh-CN"/>
          <w14:ligatures w14:val="standardContextual"/>
        </w:rPr>
      </w:pPr>
      <w:r>
        <w:rPr>
          <w:rFonts w:hint="eastAsia" w:ascii="Times New Roman" w:hAnsi="Times New Roman" w:cs="Times New Roman"/>
          <w:color w:val="FF0000"/>
          <w:kern w:val="2"/>
          <w:sz w:val="21"/>
          <w:szCs w:val="21"/>
          <w:lang w:val="en-US" w:eastAsia="zh-CN"/>
          <w14:ligatures w14:val="standardContextual"/>
        </w:rPr>
        <w:t>(Author name: 10.5 pt, Times New Roman, 1.5 spacing)</w:t>
      </w:r>
    </w:p>
    <w:p w14:paraId="1581FAA6">
      <w:pPr>
        <w:pStyle w:val="10"/>
        <w:snapToGrid w:val="0"/>
        <w:spacing w:line="360" w:lineRule="auto"/>
        <w:rPr>
          <w:rFonts w:ascii="Times New Roman" w:hAnsi="Times New Roman" w:eastAsia="宋体"/>
          <w:i/>
          <w:iCs/>
          <w:sz w:val="18"/>
          <w:szCs w:val="18"/>
        </w:rPr>
      </w:pPr>
      <w:r>
        <w:rPr>
          <w:rFonts w:ascii="Times New Roman" w:hAnsi="Times New Roman" w:eastAsia="宋体"/>
          <w:i/>
          <w:iCs/>
          <w:sz w:val="18"/>
          <w:szCs w:val="18"/>
          <w:vertAlign w:val="superscript"/>
        </w:rPr>
        <w:t>1</w:t>
      </w:r>
      <w:r>
        <w:rPr>
          <w:rFonts w:ascii="Times New Roman" w:hAnsi="Times New Roman" w:eastAsia="宋体"/>
          <w:i/>
          <w:iCs/>
          <w:sz w:val="18"/>
          <w:szCs w:val="18"/>
        </w:rPr>
        <w:t>Professor of Animation Studies and Associate Chair (Research), School of Art, Design and Media Nanyang Technological University, Singapore</w:t>
      </w:r>
    </w:p>
    <w:p w14:paraId="36797524">
      <w:pPr>
        <w:pStyle w:val="10"/>
        <w:snapToGrid w:val="0"/>
        <w:spacing w:line="360" w:lineRule="auto"/>
        <w:rPr>
          <w:rFonts w:ascii="Times New Roman" w:hAnsi="Times New Roman" w:eastAsia="宋体"/>
          <w:i/>
          <w:iCs/>
          <w:sz w:val="18"/>
          <w:szCs w:val="18"/>
        </w:rPr>
      </w:pPr>
      <w:r>
        <w:rPr>
          <w:rFonts w:ascii="Times New Roman" w:hAnsi="Times New Roman" w:eastAsia="宋体"/>
          <w:i/>
          <w:iCs/>
          <w:sz w:val="18"/>
          <w:szCs w:val="18"/>
          <w:vertAlign w:val="superscript"/>
        </w:rPr>
        <w:t>2</w:t>
      </w:r>
      <w:r>
        <w:rPr>
          <w:rFonts w:ascii="Times New Roman" w:hAnsi="Times New Roman" w:eastAsia="宋体"/>
          <w:i/>
          <w:iCs/>
          <w:sz w:val="18"/>
          <w:szCs w:val="18"/>
        </w:rPr>
        <w:t>Research Associate, School of Art, Design and Media, Nanyang Technological University, Singapore</w:t>
      </w:r>
    </w:p>
    <w:p w14:paraId="6C8FC0D0">
      <w:pPr>
        <w:pStyle w:val="10"/>
        <w:snapToGrid w:val="0"/>
        <w:spacing w:line="360" w:lineRule="auto"/>
        <w:rPr>
          <w:rFonts w:ascii="Times New Roman" w:hAnsi="Times New Roman" w:eastAsia="宋体"/>
          <w:i/>
          <w:iCs/>
          <w:sz w:val="18"/>
          <w:szCs w:val="18"/>
        </w:rPr>
      </w:pPr>
      <w:r>
        <w:rPr>
          <w:rFonts w:ascii="Times New Roman" w:hAnsi="Times New Roman" w:eastAsia="宋体"/>
          <w:i/>
          <w:iCs/>
          <w:sz w:val="18"/>
          <w:szCs w:val="18"/>
          <w:vertAlign w:val="superscript"/>
        </w:rPr>
        <w:t>3</w:t>
      </w:r>
      <w:r>
        <w:rPr>
          <w:rFonts w:ascii="Times New Roman" w:hAnsi="Times New Roman" w:eastAsia="宋体"/>
          <w:i/>
          <w:iCs/>
          <w:sz w:val="18"/>
          <w:szCs w:val="18"/>
        </w:rPr>
        <w:t>Research Assistant, School of Art, Design and Media, Nanyang Technological University, Singapore</w:t>
      </w:r>
    </w:p>
    <w:p w14:paraId="6A6B3AAB">
      <w:pPr>
        <w:pStyle w:val="10"/>
        <w:snapToGrid w:val="0"/>
        <w:spacing w:line="360" w:lineRule="auto"/>
        <w:rPr>
          <w:rFonts w:hint="default" w:ascii="Times New Roman" w:hAnsi="Times New Roman" w:eastAsia="宋体"/>
          <w:color w:val="FF0000"/>
          <w:sz w:val="18"/>
          <w:szCs w:val="18"/>
          <w:lang w:val="en-US" w:eastAsia="zh-CN"/>
        </w:rPr>
      </w:pPr>
      <w:r>
        <w:rPr>
          <w:rFonts w:hint="eastAsia" w:ascii="Times New Roman" w:hAnsi="Times New Roman" w:eastAsia="宋体"/>
          <w:color w:val="FF0000"/>
          <w:sz w:val="18"/>
          <w:szCs w:val="18"/>
          <w:lang w:val="en-US" w:eastAsia="zh-CN"/>
        </w:rPr>
        <w:t>(Work place/institution of author: 9 pt, Times New Roman, italics)</w:t>
      </w:r>
    </w:p>
    <w:p w14:paraId="61E4EA7D">
      <w:pPr>
        <w:snapToGrid w:val="0"/>
        <w:spacing w:before="156" w:beforeLines="50" w:line="360" w:lineRule="auto"/>
        <w:rPr>
          <w:rFonts w:ascii="Times New Roman" w:hAnsi="Times New Roman" w:cs="Times New Roman"/>
          <w:bCs/>
          <w:szCs w:val="21"/>
          <w:lang w:val="en-GB"/>
        </w:rPr>
      </w:pPr>
      <w:r>
        <w:rPr>
          <w:rFonts w:ascii="Times New Roman" w:hAnsi="Times New Roman" w:eastAsia="宋体"/>
          <w:b/>
          <w:bCs/>
          <w:szCs w:val="21"/>
        </w:rPr>
        <w:t>Abstract:</w:t>
      </w:r>
      <w:r>
        <w:t xml:space="preserve"> </w:t>
      </w:r>
      <w:r>
        <w:rPr>
          <w:rFonts w:ascii="Times New Roman" w:hAnsi="Times New Roman" w:cs="Times New Roman"/>
          <w:bCs/>
          <w:szCs w:val="21"/>
          <w:lang w:val="en-GB"/>
        </w:rPr>
        <w:t xml:space="preserve">This paper focuses on an ongoing project to create an adaptation of the lesser-known Shakespeare play </w:t>
      </w:r>
      <w:r>
        <w:rPr>
          <w:rFonts w:ascii="Times New Roman" w:hAnsi="Times New Roman" w:cs="Times New Roman"/>
          <w:bCs/>
          <w:i/>
          <w:iCs/>
          <w:szCs w:val="21"/>
          <w:lang w:val="en-GB"/>
        </w:rPr>
        <w:t>Pericles, Prince of Tyre</w:t>
      </w:r>
      <w:r>
        <w:rPr>
          <w:rFonts w:ascii="Times New Roman" w:hAnsi="Times New Roman" w:cs="Times New Roman"/>
          <w:bCs/>
          <w:szCs w:val="21"/>
          <w:lang w:val="en-GB"/>
        </w:rPr>
        <w:t xml:space="preserve"> for animated VR. In exploring this case study, we pay attention to both technical and narrative development outlining how our adaptation has been shaped by interdisciplinary scholarly knowledge, visual concerns, and technological possibilities. However, we argue that it is incorrect to assume that the lack of a fixed screen present in immersive media requires a focus solely on the technical and practical elements of animation production, instead demonstrating that expanded animation requires technological implementation that is fundamentally embedded in issues relating to narrative structure and the enduring unique vocabulary of animation as a medium. </w:t>
      </w:r>
    </w:p>
    <w:p w14:paraId="60E82AC0">
      <w:pPr>
        <w:pStyle w:val="10"/>
        <w:snapToGrid w:val="0"/>
        <w:spacing w:before="156" w:beforeLines="50" w:after="156" w:afterLines="50" w:line="360" w:lineRule="auto"/>
        <w:rPr>
          <w:rFonts w:hint="default" w:ascii="Times New Roman" w:hAnsi="Times New Roman" w:cs="Times New Roman" w:eastAsiaTheme="minorEastAsia"/>
          <w:bCs/>
          <w:color w:val="FF0000"/>
          <w:szCs w:val="21"/>
          <w:lang w:val="en-US" w:eastAsia="zh-CN"/>
        </w:rPr>
      </w:pPr>
      <w:r>
        <w:rPr>
          <w:rFonts w:hint="eastAsia" w:ascii="Times New Roman" w:hAnsi="Times New Roman" w:cs="Times New Roman"/>
          <w:bCs/>
          <w:color w:val="FF0000"/>
          <w:szCs w:val="21"/>
          <w:lang w:val="en-US" w:eastAsia="zh-CN"/>
        </w:rPr>
        <w:t>(Abstract:</w:t>
      </w:r>
      <w:r>
        <w:rPr>
          <w:rFonts w:hint="eastAsia" w:ascii="Times New Roman" w:hAnsi="Times New Roman" w:cs="Times New Roman"/>
          <w:color w:val="FF0000"/>
          <w:kern w:val="2"/>
          <w:sz w:val="21"/>
          <w:szCs w:val="21"/>
          <w:lang w:val="en-US" w:eastAsia="zh-CN"/>
          <w14:ligatures w14:val="standardContextual"/>
        </w:rPr>
        <w:t xml:space="preserve"> 10.5-point font size, Times New Roman, 1.5 spacing)</w:t>
      </w:r>
      <w:r>
        <w:rPr>
          <w:rFonts w:hint="eastAsia" w:ascii="Times New Roman" w:hAnsi="Times New Roman" w:cs="Times New Roman"/>
          <w:bCs/>
          <w:color w:val="FF0000"/>
          <w:szCs w:val="21"/>
          <w:lang w:val="en-US" w:eastAsia="zh-CN"/>
        </w:rPr>
        <w:t xml:space="preserve"> </w:t>
      </w:r>
    </w:p>
    <w:p w14:paraId="2604B23A">
      <w:pPr>
        <w:snapToGrid w:val="0"/>
        <w:spacing w:before="156" w:beforeLines="50" w:after="312" w:afterLines="100" w:line="276" w:lineRule="auto"/>
        <w:rPr>
          <w:rFonts w:ascii="Times New Roman" w:hAnsi="Times New Roman" w:eastAsia="宋体" w:cs="Times New Roman"/>
          <w:szCs w:val="21"/>
        </w:rPr>
      </w:pPr>
      <w:r>
        <w:rPr>
          <w:rFonts w:hint="eastAsia" w:ascii="Times New Roman" w:hAnsi="Times New Roman" w:eastAsia="宋体" w:cs="Times New Roman"/>
          <w:b/>
          <w:bCs/>
          <w:szCs w:val="21"/>
        </w:rPr>
        <w:t>Key</w:t>
      </w:r>
      <w:r>
        <w:rPr>
          <w:rFonts w:ascii="Times New Roman" w:hAnsi="Times New Roman" w:eastAsia="宋体" w:cs="Times New Roman"/>
          <w:b/>
          <w:bCs/>
          <w:szCs w:val="21"/>
        </w:rPr>
        <w:t>w</w:t>
      </w:r>
      <w:r>
        <w:rPr>
          <w:rFonts w:hint="eastAsia" w:ascii="Times New Roman" w:hAnsi="Times New Roman" w:eastAsia="宋体" w:cs="Times New Roman"/>
          <w:b/>
          <w:bCs/>
          <w:szCs w:val="21"/>
        </w:rPr>
        <w:t>ord</w:t>
      </w:r>
      <w:r>
        <w:rPr>
          <w:rFonts w:ascii="Times New Roman" w:hAnsi="Times New Roman" w:eastAsia="宋体" w:cs="Times New Roman"/>
          <w:b/>
          <w:bCs/>
          <w:szCs w:val="21"/>
        </w:rPr>
        <w:t>s</w:t>
      </w:r>
      <w:r>
        <w:rPr>
          <w:rFonts w:hint="eastAsia" w:ascii="Times New Roman" w:hAnsi="Times New Roman" w:eastAsia="宋体" w:cs="Times New Roman"/>
          <w:b/>
          <w:bCs/>
          <w:szCs w:val="21"/>
        </w:rPr>
        <w:t>:</w:t>
      </w:r>
      <w:r>
        <w:t xml:space="preserve"> </w:t>
      </w:r>
      <w:r>
        <w:rPr>
          <w:rFonts w:ascii="Times New Roman" w:hAnsi="Times New Roman" w:eastAsia="宋体" w:cs="Times New Roman"/>
          <w:szCs w:val="21"/>
        </w:rPr>
        <w:t>virtual reality, expanted animation, adaptation, Shakespeare</w:t>
      </w:r>
    </w:p>
    <w:p w14:paraId="02048DE7">
      <w:pPr>
        <w:snapToGrid w:val="0"/>
        <w:spacing w:before="156" w:beforeLines="50" w:after="312" w:afterLines="100" w:line="276" w:lineRule="auto"/>
        <w:rPr>
          <w:rFonts w:ascii="Times New Roman" w:hAnsi="Times New Roman" w:eastAsia="宋体" w:cs="Times New Roman"/>
          <w:i/>
          <w:iCs/>
          <w:color w:val="FF0000"/>
          <w:szCs w:val="21"/>
        </w:rPr>
      </w:pPr>
      <w:r>
        <w:rPr>
          <w:rFonts w:hint="eastAsia" w:ascii="Times New Roman" w:hAnsi="Times New Roman" w:eastAsia="宋体" w:cs="Times New Roman"/>
          <w:color w:val="FF0000"/>
          <w:szCs w:val="21"/>
          <w:lang w:val="en-US" w:eastAsia="zh-CN"/>
        </w:rPr>
        <w:t xml:space="preserve">(Keywords: </w:t>
      </w:r>
      <w:r>
        <w:rPr>
          <w:rFonts w:hint="eastAsia" w:ascii="Times New Roman" w:hAnsi="Times New Roman" w:cs="Times New Roman"/>
          <w:color w:val="FF0000"/>
          <w:kern w:val="2"/>
          <w:sz w:val="21"/>
          <w:szCs w:val="21"/>
          <w:lang w:val="en-US" w:eastAsia="zh-CN"/>
          <w14:ligatures w14:val="standardContextual"/>
        </w:rPr>
        <w:t>10.5-point font size, Times New Roman, 1.5 spacing)</w:t>
      </w:r>
    </w:p>
    <w:p w14:paraId="1D36155E">
      <w:pPr>
        <w:snapToGrid w:val="0"/>
        <w:spacing w:line="480" w:lineRule="auto"/>
        <w:rPr>
          <w:rFonts w:hint="eastAsia" w:ascii="Times New Roman" w:hAnsi="Times New Roman" w:eastAsia="宋体" w:cs="Times New Roman"/>
          <w:b/>
          <w:bCs/>
          <w:sz w:val="24"/>
          <w:szCs w:val="24"/>
          <w:lang w:val="en-GB" w:eastAsia="zh-CN"/>
        </w:rPr>
      </w:pPr>
      <w:r>
        <w:rPr>
          <w:rFonts w:ascii="Times New Roman" w:hAnsi="Times New Roman" w:eastAsia="宋体" w:cs="Times New Roman"/>
          <w:b/>
          <w:bCs/>
          <w:sz w:val="24"/>
          <w:szCs w:val="24"/>
        </w:rPr>
        <w:t>1. Introduction</w:t>
      </w:r>
      <w:r>
        <w:rPr>
          <w:rFonts w:hint="eastAsia" w:ascii="Times New Roman" w:hAnsi="Times New Roman" w:eastAsia="宋体" w:cs="Times New Roman"/>
          <w:b/>
          <w:bCs/>
          <w:color w:val="FF0000"/>
          <w:sz w:val="24"/>
          <w:szCs w:val="24"/>
          <w:lang w:val="en-US" w:eastAsia="zh-CN"/>
        </w:rPr>
        <w:t xml:space="preserve"> (Heading 1: 12pt, Times New Roman, double spacing, bold)</w:t>
      </w:r>
    </w:p>
    <w:p w14:paraId="4BFD11A6">
      <w:pPr>
        <w:snapToGrid w:val="0"/>
        <w:spacing w:line="360" w:lineRule="auto"/>
        <w:rPr>
          <w:rFonts w:ascii="Times New Roman" w:hAnsi="Times New Roman" w:cs="Times New Roman"/>
          <w:sz w:val="18"/>
          <w:szCs w:val="18"/>
          <w:lang w:val="en-GB"/>
        </w:rPr>
      </w:pPr>
      <w:r>
        <w:rPr>
          <w:rFonts w:ascii="Times New Roman" w:hAnsi="Times New Roman" w:cs="Times New Roman"/>
          <w:bCs/>
          <w:szCs w:val="21"/>
          <w:lang w:val="en-GB"/>
        </w:rPr>
        <w:t xml:space="preserve">In their discussion of expanded and experimental animation, Smith and Hamlyn highlight a need to consider “how animation can be redefined when it is no longer articulated through the single screen alone,” and how such forms of animation involve a situation in which “traditional or commercial practices are exposed to new critical methodologies or re-workings” </w:t>
      </w:r>
      <w:r>
        <w:rPr>
          <w:rFonts w:ascii="Times New Roman" w:hAnsi="Times New Roman" w:cs="Times New Roman"/>
          <w:bCs/>
          <w:szCs w:val="21"/>
          <w:vertAlign w:val="superscript"/>
          <w:lang w:val="en-GB"/>
        </w:rPr>
        <w:t>1</w:t>
      </w:r>
      <w:r>
        <w:rPr>
          <w:rFonts w:ascii="Times New Roman" w:hAnsi="Times New Roman" w:cs="Times New Roman"/>
          <w:bCs/>
          <w:szCs w:val="21"/>
          <w:lang w:val="en-GB"/>
        </w:rPr>
        <w:t xml:space="preserve">. In this paper, we will provide insights into how expanded animation might manifest itself both theoretically and practically through the lens of our ongoing project to adapt Shakespeare’s </w:t>
      </w:r>
      <w:r>
        <w:rPr>
          <w:rFonts w:ascii="Times New Roman" w:hAnsi="Times New Roman" w:cs="Times New Roman"/>
          <w:bCs/>
          <w:i/>
          <w:iCs/>
          <w:szCs w:val="21"/>
          <w:lang w:val="en-GB"/>
        </w:rPr>
        <w:t xml:space="preserve">Pericles, Prince of Tyre </w:t>
      </w:r>
      <w:r>
        <w:rPr>
          <w:rFonts w:ascii="Times New Roman" w:hAnsi="Times New Roman" w:cs="Times New Roman"/>
          <w:bCs/>
          <w:szCs w:val="21"/>
          <w:lang w:val="en-GB"/>
        </w:rPr>
        <w:t>for gamified virtual reality (VR)</w:t>
      </w:r>
      <w:r>
        <w:rPr>
          <w:rFonts w:ascii="Times New Roman" w:hAnsi="Times New Roman" w:cs="Times New Roman"/>
          <w:bCs/>
          <w:i/>
          <w:iCs/>
          <w:szCs w:val="21"/>
          <w:lang w:val="en-GB"/>
        </w:rPr>
        <w:t xml:space="preserve">. </w:t>
      </w:r>
      <w:r>
        <w:rPr>
          <w:rFonts w:ascii="Times New Roman" w:hAnsi="Times New Roman" w:cs="Times New Roman"/>
          <w:bCs/>
          <w:szCs w:val="21"/>
          <w:lang w:val="en-GB"/>
        </w:rPr>
        <w:t xml:space="preserve">This practice-led-research project is currently at the production stage and is particularly interested in exploring the implications of adapting works of Shakespeare for diverse </w:t>
      </w:r>
    </w:p>
    <w:p w14:paraId="36B472D1">
      <w:pPr>
        <w:snapToGrid w:val="0"/>
        <w:spacing w:after="312" w:afterLines="100" w:line="360" w:lineRule="auto"/>
        <w:rPr>
          <w:rFonts w:ascii="Times New Roman" w:hAnsi="Times New Roman" w:cs="Times New Roman"/>
          <w:bCs/>
          <w:szCs w:val="21"/>
          <w:lang w:val="en-GB"/>
        </w:rPr>
      </w:pPr>
      <w:r>
        <w:rPr>
          <w:rFonts w:ascii="Times New Roman" w:hAnsi="Times New Roman" w:cs="Times New Roman"/>
          <w:bCs/>
          <w:szCs w:val="21"/>
          <w:lang w:val="en-GB"/>
        </w:rPr>
        <w:t>types of interactive digital media, and the relationship between narrative elements in the original text and the specific requirements of these media forms. In particular, the project seeks to interrogate how transforming a Shakespearean play into a serious game facilitates a non-linear and interactive approach to storytelling. Funded by the Singapore Ministry of Education (MoE) AcRF Tier 2 grant “From Print to Digital Continued,” the project is also keen to explore how taking an immersive approach to Shakespeare can impact upon students’ engagement with the original text and its meanings.</w:t>
      </w:r>
    </w:p>
    <w:p w14:paraId="275CED32">
      <w:pPr>
        <w:snapToGrid w:val="0"/>
        <w:spacing w:after="312" w:afterLines="100" w:line="360" w:lineRule="auto"/>
        <w:rPr>
          <w:rFonts w:ascii="Times New Roman" w:hAnsi="Times New Roman" w:cs="Times New Roman"/>
          <w:bCs/>
          <w:color w:val="FF0000"/>
          <w:szCs w:val="21"/>
          <w:lang w:val="en-GB"/>
        </w:rPr>
      </w:pPr>
      <w:r>
        <w:rPr>
          <w:rFonts w:hint="eastAsia" w:ascii="Times New Roman" w:hAnsi="Times New Roman" w:cs="Times New Roman"/>
          <w:bCs/>
          <w:color w:val="FF0000"/>
          <w:szCs w:val="21"/>
          <w:lang w:val="en-US" w:eastAsia="zh-CN"/>
        </w:rPr>
        <w:t>(Body: 10.5 pt, Times New Roman, 1.5 spacing, spacing between paragraphs: a line)</w:t>
      </w:r>
    </w:p>
    <w:p w14:paraId="4A9327B3">
      <w:pPr>
        <w:snapToGrid w:val="0"/>
        <w:spacing w:line="360" w:lineRule="auto"/>
        <w:jc w:val="left"/>
        <w:rPr>
          <w:rFonts w:ascii="Times New Roman" w:hAnsi="Times New Roman" w:cs="Times New Roman"/>
          <w:b/>
          <w:bCs/>
          <w:i/>
          <w:iCs/>
          <w:szCs w:val="21"/>
        </w:rPr>
      </w:pPr>
      <w:r>
        <w:rPr>
          <w:rFonts w:hint="eastAsia" w:ascii="Times New Roman" w:hAnsi="Times New Roman" w:cs="Times New Roman"/>
          <w:b/>
          <w:bCs/>
          <w:i/>
          <w:iCs/>
          <w:szCs w:val="21"/>
        </w:rPr>
        <w:t>1</w:t>
      </w:r>
      <w:r>
        <w:rPr>
          <w:rFonts w:ascii="Times New Roman" w:hAnsi="Times New Roman" w:cs="Times New Roman"/>
          <w:b/>
          <w:bCs/>
          <w:i/>
          <w:iCs/>
          <w:szCs w:val="21"/>
        </w:rPr>
        <w:t>.1 Environment</w:t>
      </w:r>
      <w:r>
        <w:rPr>
          <w:rFonts w:hint="eastAsia" w:ascii="Times New Roman" w:hAnsi="Times New Roman" w:cs="Times New Roman"/>
          <w:b/>
          <w:bCs/>
          <w:i/>
          <w:iCs/>
          <w:color w:val="FF0000"/>
          <w:szCs w:val="21"/>
          <w:lang w:val="en-US" w:eastAsia="zh-CN"/>
        </w:rPr>
        <w:t xml:space="preserve"> (Heading 2: 10.5 pt, Times New Roman, 1.5 spacing, italics, bold)</w:t>
      </w:r>
    </w:p>
    <w:p w14:paraId="41EBCD54">
      <w:pPr>
        <w:snapToGrid w:val="0"/>
        <w:spacing w:line="360" w:lineRule="auto"/>
        <w:rPr>
          <w:rFonts w:ascii="Times New Roman" w:hAnsi="Times New Roman" w:cs="Times New Roman"/>
          <w:i/>
          <w:iCs/>
          <w:color w:val="FF0000"/>
          <w:szCs w:val="21"/>
          <w:lang w:val="en-GB"/>
        </w:rPr>
      </w:pPr>
      <w:r>
        <w:rPr>
          <w:rFonts w:hint="eastAsia" w:ascii="Times New Roman" w:hAnsi="Times New Roman" w:cs="Times New Roman"/>
          <w:i/>
          <w:iCs/>
          <w:szCs w:val="21"/>
          <w:lang w:val="en-GB"/>
        </w:rPr>
        <w:t>1.1.</w:t>
      </w:r>
      <w:r>
        <w:rPr>
          <w:rFonts w:ascii="Times New Roman" w:hAnsi="Times New Roman" w:cs="Times New Roman"/>
          <w:i/>
          <w:iCs/>
          <w:szCs w:val="21"/>
          <w:lang w:val="en-GB"/>
        </w:rPr>
        <w:t>1 Modelling and Rigging</w:t>
      </w:r>
      <w:r>
        <w:rPr>
          <w:rFonts w:hint="eastAsia" w:ascii="Times New Roman" w:hAnsi="Times New Roman" w:cs="Times New Roman"/>
          <w:i/>
          <w:iCs/>
          <w:color w:val="FF0000"/>
          <w:szCs w:val="21"/>
          <w:lang w:val="en-GB"/>
        </w:rPr>
        <w:t>（</w:t>
      </w:r>
      <w:r>
        <w:rPr>
          <w:rFonts w:hint="eastAsia" w:ascii="Times New Roman" w:hAnsi="Times New Roman" w:cs="Times New Roman"/>
          <w:i/>
          <w:iCs/>
          <w:color w:val="FF0000"/>
          <w:szCs w:val="21"/>
          <w:lang w:val="en-US" w:eastAsia="zh-CN"/>
        </w:rPr>
        <w:t>Heading 3: 10.5 pt, Times New Roman, 1.5 spacing, italics)</w:t>
      </w:r>
    </w:p>
    <w:p w14:paraId="71BF7CD8">
      <w:pPr>
        <w:snapToGrid w:val="0"/>
        <w:spacing w:line="276" w:lineRule="auto"/>
        <w:jc w:val="center"/>
        <w:rPr>
          <w:rFonts w:ascii="Times New Roman" w:hAnsi="Times New Roman" w:cs="Times New Roman"/>
          <w:color w:val="000000"/>
          <w:szCs w:val="21"/>
          <w:lang w:val="en-GB"/>
        </w:rPr>
      </w:pPr>
      <w:r>
        <w:drawing>
          <wp:inline distT="0" distB="0" distL="0" distR="0">
            <wp:extent cx="4537075" cy="3037840"/>
            <wp:effectExtent l="0" t="0" r="0" b="0"/>
            <wp:docPr id="1924347495" name="Picture 1924347495" descr="A stone walkway with trees growing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7495" name="Picture 1924347495" descr="A stone walkway with trees growing around it&#10;&#10;Description automatically generated with medium confidence"/>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43760" cy="3042752"/>
                    </a:xfrm>
                    <a:prstGeom prst="rect">
                      <a:avLst/>
                    </a:prstGeom>
                  </pic:spPr>
                </pic:pic>
              </a:graphicData>
            </a:graphic>
          </wp:inline>
        </w:drawing>
      </w:r>
    </w:p>
    <w:p w14:paraId="5A255BE9">
      <w:pPr>
        <w:jc w:val="center"/>
        <w:rPr>
          <w:rFonts w:ascii="Times New Roman" w:hAnsi="Times New Roman" w:cs="Times New Roman"/>
          <w:sz w:val="18"/>
          <w:szCs w:val="18"/>
          <w:lang w:val="en-GB"/>
        </w:rPr>
      </w:pPr>
      <w:r>
        <w:rPr>
          <w:rFonts w:ascii="Times New Roman" w:hAnsi="Times New Roman" w:cs="Times New Roman"/>
          <w:sz w:val="18"/>
          <w:szCs w:val="18"/>
          <w:lang w:val="en-GB"/>
        </w:rPr>
        <w:t>Fig 3. Screengrab from Unreal showing first pass of virtual environment.</w:t>
      </w:r>
    </w:p>
    <w:p w14:paraId="3556DA81">
      <w:pPr>
        <w:jc w:val="center"/>
        <w:rPr>
          <w:rFonts w:ascii="Times New Roman" w:hAnsi="Times New Roman" w:cs="Times New Roman"/>
          <w:color w:val="FF0000"/>
          <w:sz w:val="18"/>
          <w:szCs w:val="18"/>
          <w:lang w:val="en-GB"/>
        </w:rPr>
      </w:pPr>
      <w:r>
        <w:rPr>
          <w:rFonts w:hint="eastAsia" w:ascii="Times New Roman" w:hAnsi="Times New Roman" w:cs="Times New Roman"/>
          <w:color w:val="FF0000"/>
          <w:sz w:val="18"/>
          <w:szCs w:val="18"/>
          <w:lang w:val="en-US" w:eastAsia="zh-CN"/>
        </w:rPr>
        <w:t>(Illustration: 9 pt, Times New Roman, single spacing)</w:t>
      </w:r>
    </w:p>
    <w:p w14:paraId="0CE46936">
      <w:pPr>
        <w:widowControl/>
        <w:snapToGrid w:val="0"/>
        <w:spacing w:line="276" w:lineRule="auto"/>
        <w:rPr>
          <w:rFonts w:ascii="Times New Roman" w:hAnsi="Times New Roman" w:cs="Times New Roman"/>
          <w:sz w:val="18"/>
          <w:szCs w:val="18"/>
          <w:lang w:val="en-GB"/>
        </w:rPr>
      </w:pPr>
    </w:p>
    <w:p w14:paraId="1DB01C02">
      <w:pPr>
        <w:widowControl/>
        <w:snapToGrid w:val="0"/>
        <w:spacing w:line="276" w:lineRule="auto"/>
        <w:rPr>
          <w:rFonts w:ascii="Times New Roman" w:hAnsi="Times New Roman" w:cs="Times New Roman"/>
          <w:sz w:val="18"/>
          <w:szCs w:val="18"/>
          <w:lang w:val="en-GB"/>
        </w:rPr>
      </w:pPr>
    </w:p>
    <w:p w14:paraId="18FF979E">
      <w:pPr>
        <w:widowControl/>
        <w:snapToGrid w:val="0"/>
        <w:spacing w:line="276" w:lineRule="auto"/>
        <w:rPr>
          <w:rFonts w:ascii="Times New Roman" w:hAnsi="Times New Roman" w:cs="Times New Roman"/>
          <w:sz w:val="18"/>
          <w:szCs w:val="18"/>
          <w:lang w:val="en-GB"/>
        </w:rPr>
      </w:pPr>
    </w:p>
    <w:p w14:paraId="58D24D5D">
      <w:pPr>
        <w:widowControl/>
        <w:snapToGrid w:val="0"/>
        <w:spacing w:line="276" w:lineRule="auto"/>
        <w:rPr>
          <w:rFonts w:ascii="Times New Roman" w:hAnsi="Times New Roman" w:cs="Times New Roman"/>
          <w:sz w:val="18"/>
          <w:szCs w:val="18"/>
          <w:lang w:val="en-GB"/>
        </w:rPr>
      </w:pPr>
    </w:p>
    <w:p w14:paraId="0498B2BF">
      <w:pPr>
        <w:widowControl/>
        <w:snapToGrid w:val="0"/>
        <w:spacing w:line="276" w:lineRule="auto"/>
        <w:rPr>
          <w:rFonts w:hint="eastAsia" w:ascii="Times New Roman" w:hAnsi="Times New Roman" w:cs="Times New Roman"/>
          <w:sz w:val="18"/>
          <w:szCs w:val="18"/>
          <w:lang w:val="en-GB"/>
        </w:rPr>
      </w:pPr>
      <w:r>
        <w:rPr>
          <w:rFonts w:hint="eastAsia" w:ascii="Times New Roman" w:hAnsi="Times New Roman" w:cs="Times New Roman"/>
          <w:sz w:val="18"/>
          <w:szCs w:val="18"/>
          <w:lang w:val="en-GB"/>
        </w:rPr>
        <w:t>——————————————————————————————————————————————</w:t>
      </w:r>
    </w:p>
    <w:p w14:paraId="229AE329">
      <w:pPr>
        <w:widowControl/>
        <w:snapToGrid w:val="0"/>
        <w:spacing w:line="276" w:lineRule="auto"/>
        <w:rPr>
          <w:rFonts w:ascii="Times New Roman" w:hAnsi="Times New Roman" w:cs="Times New Roman"/>
          <w:sz w:val="18"/>
          <w:szCs w:val="18"/>
          <w:lang w:val="en-GB"/>
        </w:rPr>
      </w:pPr>
      <w:r>
        <w:rPr>
          <w:rFonts w:ascii="Times New Roman" w:hAnsi="Times New Roman" w:cs="Times New Roman"/>
          <w:sz w:val="18"/>
          <w:szCs w:val="18"/>
          <w:lang w:val="en-GB"/>
        </w:rPr>
        <w:t>This research is supported by the Ministry of Education, Singapore, under AcRF T2 Grant MOE-T2EP40120-003 “From Print to Digital Continued: Expanded Research into adapting Shakespeare for VR, AR and AI.” Any opinions, findings and conclusions or recommendations expressed in this material are those of the authors and do not reflect the views of the Ministry of Education, Singapore.</w:t>
      </w:r>
    </w:p>
    <w:p w14:paraId="707AEBC9">
      <w:pPr>
        <w:rPr>
          <w:color w:val="FF0000"/>
          <w:sz w:val="18"/>
          <w:szCs w:val="20"/>
          <w:lang w:val="en-GB"/>
        </w:rPr>
      </w:pPr>
      <w:r>
        <w:rPr>
          <w:rFonts w:hint="eastAsia"/>
          <w:color w:val="FF0000"/>
          <w:sz w:val="18"/>
          <w:szCs w:val="20"/>
          <w:lang w:val="en-GB"/>
        </w:rPr>
        <w:t>（</w:t>
      </w:r>
      <w:r>
        <w:rPr>
          <w:rFonts w:hint="eastAsia"/>
          <w:color w:val="FF0000"/>
          <w:sz w:val="18"/>
          <w:szCs w:val="20"/>
          <w:lang w:val="en-US" w:eastAsia="zh-CN"/>
        </w:rPr>
        <w:t>Notes: 9 pt, Times New Roman, 1,15 spacing, positioned at the bottom of the page)</w:t>
      </w:r>
    </w:p>
    <w:p w14:paraId="660AC7CA">
      <w:pPr>
        <w:spacing w:before="240" w:after="160"/>
        <w:rPr>
          <w:rFonts w:ascii="Times New Roman" w:hAnsi="Times New Roman" w:cs="Times New Roman"/>
          <w:b/>
          <w:bCs/>
          <w:sz w:val="24"/>
          <w:szCs w:val="24"/>
        </w:rPr>
      </w:pPr>
      <w:r>
        <w:rPr>
          <w:rFonts w:ascii="Times New Roman" w:hAnsi="Times New Roman" w:cs="Times New Roman"/>
          <w:b/>
          <w:bCs/>
          <w:sz w:val="24"/>
          <w:szCs w:val="24"/>
        </w:rPr>
        <w:t>REFERENCES</w:t>
      </w:r>
    </w:p>
    <w:p w14:paraId="469F905C">
      <w:pPr>
        <w:snapToGrid w:val="0"/>
        <w:spacing w:line="360" w:lineRule="auto"/>
        <w:ind w:left="243" w:leftChars="1" w:hanging="241" w:hangingChars="134"/>
        <w:jc w:val="left"/>
        <w:rPr>
          <w:rFonts w:ascii="Times New Roman" w:hAnsi="Times New Roman" w:cs="Times New Roman"/>
          <w:sz w:val="18"/>
          <w:szCs w:val="18"/>
          <w:lang w:val="en-GB"/>
        </w:rPr>
      </w:pPr>
      <w:r>
        <w:rPr>
          <w:rFonts w:ascii="Times New Roman" w:hAnsi="Times New Roman" w:cs="Times New Roman"/>
          <w:sz w:val="18"/>
          <w:szCs w:val="18"/>
          <w:lang w:val="en-GB"/>
        </w:rPr>
        <w:t>[1] Vicky Smith and Nicky Hamlyn. “Introduction,” in Vicky Smith and Nicky Hamlyn (eds.). Experimental and Expanded Animation: New Perspecctives and Practices. Palgrave Macmillan Cham, 2018, p. 2. doi.org/10.1007/978-3-319-73873-4.</w:t>
      </w:r>
    </w:p>
    <w:p w14:paraId="4A422178">
      <w:pPr>
        <w:snapToGrid w:val="0"/>
        <w:spacing w:line="360" w:lineRule="auto"/>
        <w:ind w:left="283" w:hanging="282" w:hangingChars="157"/>
        <w:rPr>
          <w:rFonts w:ascii="Times New Roman" w:hAnsi="Times New Roman" w:cs="Times New Roman"/>
          <w:sz w:val="18"/>
          <w:szCs w:val="18"/>
          <w:lang w:val="en-GB"/>
        </w:rPr>
      </w:pPr>
      <w:r>
        <w:rPr>
          <w:rFonts w:ascii="Times New Roman" w:hAnsi="Times New Roman" w:cs="Times New Roman"/>
          <w:sz w:val="18"/>
          <w:szCs w:val="18"/>
          <w:lang w:val="en-GB"/>
        </w:rPr>
        <w:t>[2] Stephen Wittek and David McInnis. “Introduction,” in Stephen Wittek and David McInnis (eds.). Shakespeare and Virtual Reality. Cambridge Universit</w:t>
      </w:r>
    </w:p>
    <w:p w14:paraId="75E276EB">
      <w:pPr>
        <w:snapToGrid w:val="0"/>
        <w:spacing w:line="360" w:lineRule="auto"/>
        <w:ind w:left="283" w:hanging="282" w:hangingChars="157"/>
        <w:rPr>
          <w:rFonts w:ascii="Times New Roman" w:hAnsi="Times New Roman" w:cs="Times New Roman"/>
          <w:color w:val="FF0000"/>
          <w:sz w:val="18"/>
          <w:szCs w:val="18"/>
          <w:lang w:val="en-GB"/>
        </w:rPr>
      </w:pPr>
      <w:r>
        <w:rPr>
          <w:rFonts w:hint="eastAsia" w:ascii="Times New Roman" w:hAnsi="Times New Roman" w:cs="Times New Roman"/>
          <w:color w:val="FF0000"/>
          <w:sz w:val="18"/>
          <w:szCs w:val="18"/>
          <w:lang w:val="en-US" w:eastAsia="zh-CN"/>
        </w:rPr>
        <w:t>(Reference: 9 pt, Times New Roman, 1.5 spacing)</w:t>
      </w:r>
    </w:p>
    <w:p w14:paraId="1C7624E8">
      <w:pPr>
        <w:snapToGrid w:val="0"/>
        <w:spacing w:line="360" w:lineRule="auto"/>
        <w:ind w:left="283" w:hanging="282" w:hangingChars="157"/>
        <w:rPr>
          <w:rFonts w:ascii="Times New Roman" w:hAnsi="Times New Roman" w:cs="Times New Roman"/>
          <w:color w:val="FF0000"/>
          <w:sz w:val="18"/>
          <w:szCs w:val="18"/>
          <w:lang w:val="en-GB"/>
        </w:rPr>
      </w:pPr>
    </w:p>
    <w:p w14:paraId="7781BF74">
      <w:pPr>
        <w:snapToGrid w:val="0"/>
        <w:spacing w:line="360" w:lineRule="auto"/>
        <w:ind w:left="283" w:hanging="282" w:hangingChars="157"/>
        <w:rPr>
          <w:rFonts w:ascii="Times New Roman" w:hAnsi="Times New Roman" w:cs="Times New Roman"/>
          <w:color w:val="FF0000"/>
          <w:sz w:val="18"/>
          <w:szCs w:val="18"/>
          <w:lang w:val="en-GB"/>
        </w:rPr>
      </w:pPr>
    </w:p>
    <w:p w14:paraId="13CBBE2C">
      <w:pPr>
        <w:snapToGrid w:val="0"/>
        <w:spacing w:line="360" w:lineRule="auto"/>
        <w:ind w:left="283" w:hanging="282" w:hangingChars="157"/>
        <w:rPr>
          <w:rFonts w:ascii="Times New Roman" w:hAnsi="Times New Roman" w:cs="Times New Roman"/>
          <w:color w:val="FF0000"/>
          <w:sz w:val="18"/>
          <w:szCs w:val="18"/>
          <w:lang w:val="en-GB"/>
        </w:rPr>
      </w:pPr>
    </w:p>
    <w:p w14:paraId="0804FC15">
      <w:pPr>
        <w:snapToGrid w:val="0"/>
        <w:spacing w:line="360" w:lineRule="auto"/>
        <w:ind w:left="283" w:hanging="282" w:hangingChars="157"/>
        <w:rPr>
          <w:rFonts w:ascii="Times New Roman" w:hAnsi="Times New Roman" w:cs="Times New Roman"/>
          <w:color w:val="FF0000"/>
          <w:sz w:val="18"/>
          <w:szCs w:val="18"/>
          <w:lang w:val="en-GB"/>
        </w:rPr>
      </w:pPr>
    </w:p>
    <w:p w14:paraId="4ACA4E47">
      <w:pPr>
        <w:snapToGrid w:val="0"/>
        <w:spacing w:line="360" w:lineRule="auto"/>
        <w:ind w:left="502" w:hanging="502" w:hangingChars="157"/>
        <w:rPr>
          <w:rFonts w:hint="eastAsia"/>
          <w:color w:val="FF0000"/>
          <w:sz w:val="32"/>
          <w:szCs w:val="36"/>
          <w:lang w:val="en-GB"/>
        </w:rPr>
      </w:pPr>
      <w:bookmarkStart w:id="0" w:name="_GoBack"/>
      <w:bookmarkEnd w:id="0"/>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Arial"/>
    <w:panose1 w:val="020B0604020202020204"/>
    <w:charset w:val="80"/>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mZDRlN2RjOGNiZWJmZTFhNmZjYWE4MzJjOGUyMjQifQ=="/>
  </w:docVars>
  <w:rsids>
    <w:rsidRoot w:val="008A656D"/>
    <w:rsid w:val="00064FED"/>
    <w:rsid w:val="00141311"/>
    <w:rsid w:val="002401EE"/>
    <w:rsid w:val="002A56AF"/>
    <w:rsid w:val="00564423"/>
    <w:rsid w:val="005E5E2C"/>
    <w:rsid w:val="008A656D"/>
    <w:rsid w:val="00E37F08"/>
    <w:rsid w:val="1F311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页眉 字符"/>
    <w:basedOn w:val="6"/>
    <w:link w:val="3"/>
    <w:qFormat/>
    <w:uiPriority w:val="99"/>
    <w:rPr>
      <w:sz w:val="18"/>
      <w:szCs w:val="18"/>
    </w:rPr>
  </w:style>
  <w:style w:type="character" w:customStyle="1" w:styleId="9">
    <w:name w:val="页脚 字符"/>
    <w:basedOn w:val="6"/>
    <w:link w:val="2"/>
    <w:uiPriority w:val="99"/>
    <w:rPr>
      <w:sz w:val="18"/>
      <w:szCs w:val="18"/>
    </w:rPr>
  </w:style>
  <w:style w:type="paragraph" w:customStyle="1" w:styleId="10">
    <w:name w:val="石墨文档正文"/>
    <w:uiPriority w:val="0"/>
    <w:rPr>
      <w:rFonts w:ascii="Arial Unicode MS" w:hAnsi="Arial Unicode MS" w:cs="Arial Unicode MS" w:eastAsiaTheme="minorEastAsia"/>
      <w:kern w:val="0"/>
      <w:sz w:val="22"/>
      <w:szCs w:val="22"/>
      <w:lang w:val="en-US" w:eastAsia="zh-CN" w:bidi="ar-SA"/>
      <w14:ligatures w14:val="none"/>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902</Words>
  <Characters>3577</Characters>
  <Lines>29</Lines>
  <Paragraphs>8</Paragraphs>
  <TotalTime>36</TotalTime>
  <ScaleCrop>false</ScaleCrop>
  <LinksUpToDate>false</LinksUpToDate>
  <CharactersWithSpaces>4087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2024-04-18T06:34:00Z</dcterms:created>
  <dc:creator>子 久</dc:creator>
  <cp:lastModifiedBy>dison</cp:lastModifiedBy>
  <dcterms:modified xsi:type="dcterms:W3CDTF">2024-08-29T01:50:05Z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20CBFA674E87423384BF74C873AD1191_13</vt:lpwstr>
  </property>
</Properties>
</file>